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D0" w:rsidRPr="00ED3D44" w:rsidRDefault="000E40FD" w:rsidP="003A1BBA">
      <w:pPr>
        <w:rPr>
          <w:rFonts w:ascii="Century Gothic" w:hAnsi="Century Gothic"/>
          <w:color w:val="298CAA"/>
          <w:sz w:val="64"/>
          <w:szCs w:val="64"/>
          <w:lang w:val="en-GB"/>
        </w:rPr>
      </w:pPr>
      <w:bookmarkStart w:id="0" w:name="_GoBack"/>
      <w:bookmarkEnd w:id="0"/>
      <w:r>
        <w:rPr>
          <w:rFonts w:ascii="Century Gothic" w:hAnsi="Century Gothic"/>
          <w:color w:val="298CAA"/>
          <w:sz w:val="64"/>
          <w:szCs w:val="64"/>
          <w:lang w:val="en-GB"/>
        </w:rPr>
        <w:t>Recruitment &amp; Selection</w:t>
      </w:r>
    </w:p>
    <w:p w:rsidR="00C67995" w:rsidRPr="00C67995" w:rsidRDefault="000E40FD" w:rsidP="00C67995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808080" w:themeColor="background1" w:themeShade="80"/>
        </w:rPr>
      </w:pPr>
      <w:r>
        <w:rPr>
          <w:rFonts w:ascii="Arial" w:eastAsia="Times New Roman" w:hAnsi="Arial" w:cs="Arial"/>
          <w:color w:val="808080" w:themeColor="background1" w:themeShade="80"/>
        </w:rPr>
        <w:t>This practical 1-day course provides an overview of the recruitment, selection and resourcing process, including preparation for, and practical experience of, conducting interviews.</w:t>
      </w:r>
    </w:p>
    <w:p w:rsidR="00E028E3" w:rsidRDefault="00E028E3" w:rsidP="003A1BBA">
      <w:pPr>
        <w:shd w:val="clear" w:color="auto" w:fill="FFFFFF"/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p w:rsidR="003506D8" w:rsidRDefault="003506D8" w:rsidP="003A1BBA">
      <w:pPr>
        <w:shd w:val="clear" w:color="auto" w:fill="FFFFFF"/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  <w:gridCol w:w="3402"/>
      </w:tblGrid>
      <w:tr w:rsidR="00E028E3">
        <w:tc>
          <w:tcPr>
            <w:tcW w:w="3794" w:type="dxa"/>
          </w:tcPr>
          <w:p w:rsid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 w:rsidRPr="00E028E3">
              <w:rPr>
                <w:rFonts w:ascii="Arial" w:eastAsia="Times New Roman" w:hAnsi="Arial" w:cs="Arial"/>
                <w:b/>
                <w:color w:val="298CAA"/>
              </w:rPr>
              <w:t>Who should attend?</w:t>
            </w:r>
          </w:p>
          <w:p w:rsidR="00E028E3" w:rsidRPr="00C2667E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C67995" w:rsidRPr="00C67995" w:rsidRDefault="000E40FD" w:rsidP="00C679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This course fits anyone in a support role, or looking to become involved in recruitment, selection and resourcing. No prior knowledge of resourcing or recruitment is required</w:t>
            </w:r>
            <w:r w:rsidR="00C67995" w:rsidRPr="00C6799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C67995" w:rsidRPr="00C6799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C2667E" w:rsidRDefault="00C2667E" w:rsidP="00C2667E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>
              <w:rPr>
                <w:rFonts w:ascii="Arial" w:eastAsia="Times New Roman" w:hAnsi="Arial" w:cs="Arial"/>
                <w:b/>
                <w:color w:val="298CAA"/>
              </w:rPr>
              <w:t>Course Benefits</w:t>
            </w:r>
          </w:p>
          <w:p w:rsidR="00C2667E" w:rsidRDefault="00C67995" w:rsidP="00C679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C67995" w:rsidRPr="00C106B2" w:rsidRDefault="00C67995" w:rsidP="000E40F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the end of </w:t>
            </w:r>
            <w:r w:rsidR="000E40FD">
              <w:rPr>
                <w:rFonts w:ascii="Arial" w:eastAsia="Times New Roman" w:hAnsi="Arial" w:cs="Arial"/>
                <w:sz w:val="20"/>
                <w:szCs w:val="20"/>
              </w:rPr>
              <w:t>the Recruitment &amp; Selection course you will be able to use essential tools for different recruitment and selections methods; understand the legal context of recruitment &amp; selection and understand how best to construct job descriptions and person specifications.</w:t>
            </w:r>
          </w:p>
          <w:p w:rsidR="00C2667E" w:rsidRDefault="00C2667E" w:rsidP="00CD4D7A">
            <w:pPr>
              <w:rPr>
                <w:rFonts w:ascii="Arial" w:hAnsi="Arial" w:cs="Arial"/>
                <w:b/>
                <w:color w:val="298CAA"/>
                <w:lang w:val="en-GB"/>
              </w:rPr>
            </w:pPr>
          </w:p>
          <w:p w:rsidR="00D56FC0" w:rsidRDefault="00D56FC0" w:rsidP="00D56FC0">
            <w:pPr>
              <w:ind w:left="720"/>
              <w:jc w:val="both"/>
              <w:rPr>
                <w:sz w:val="20"/>
                <w:szCs w:val="20"/>
                <w:lang w:val="en-GB"/>
              </w:rPr>
            </w:pPr>
          </w:p>
          <w:p w:rsidR="00C106B2" w:rsidRPr="00D56FC0" w:rsidRDefault="00C106B2" w:rsidP="00C106B2">
            <w:pPr>
              <w:rPr>
                <w:rFonts w:ascii="Arial" w:hAnsi="Arial" w:cs="Arial"/>
                <w:b/>
                <w:color w:val="298CAA"/>
                <w:lang w:val="en-GB"/>
              </w:rPr>
            </w:pPr>
            <w:r>
              <w:rPr>
                <w:rFonts w:ascii="Arial" w:hAnsi="Arial" w:cs="Arial"/>
                <w:b/>
                <w:color w:val="298CAA"/>
                <w:lang w:val="en-GB"/>
              </w:rPr>
              <w:t>Programme Content</w:t>
            </w:r>
          </w:p>
          <w:p w:rsidR="00205A37" w:rsidRDefault="00205A37" w:rsidP="0072330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106B2" w:rsidRDefault="000E40FD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Introduction to the recruitment process &amp; legal considerations</w:t>
            </w:r>
          </w:p>
          <w:p w:rsidR="000E40FD" w:rsidRPr="000E40FD" w:rsidRDefault="000E40FD" w:rsidP="000E40FD">
            <w:pPr>
              <w:pStyle w:val="ListParagraph"/>
              <w:numPr>
                <w:ilvl w:val="0"/>
                <w:numId w:val="44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Stages in recruitment process</w:t>
            </w:r>
          </w:p>
          <w:p w:rsidR="000E40FD" w:rsidRPr="000E40FD" w:rsidRDefault="000E40FD" w:rsidP="000E40FD">
            <w:pPr>
              <w:pStyle w:val="ListParagraph"/>
              <w:numPr>
                <w:ilvl w:val="0"/>
                <w:numId w:val="44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Review legislation which aims to ensure equal treatment of all candidates</w:t>
            </w: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  <w:p w:rsidR="00C106B2" w:rsidRDefault="000E40FD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Defining the need (job &amp; person specification)</w:t>
            </w:r>
          </w:p>
          <w:p w:rsidR="000E40FD" w:rsidRPr="00430BB3" w:rsidRDefault="00430BB3" w:rsidP="000E40F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30B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Is there a need?</w:t>
            </w:r>
          </w:p>
          <w:p w:rsidR="00430BB3" w:rsidRPr="00430BB3" w:rsidRDefault="00430BB3" w:rsidP="000E40F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30B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Job Analysis</w:t>
            </w:r>
          </w:p>
          <w:p w:rsidR="00430BB3" w:rsidRPr="00430BB3" w:rsidRDefault="00430BB3" w:rsidP="000E40F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30B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Person Specification</w:t>
            </w: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  <w:p w:rsidR="00C106B2" w:rsidRPr="00C106B2" w:rsidRDefault="00430BB3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Attracting candidates</w:t>
            </w:r>
          </w:p>
          <w:p w:rsidR="00C106B2" w:rsidRPr="00C106B2" w:rsidRDefault="00430BB3" w:rsidP="00C106B2">
            <w:pPr>
              <w:numPr>
                <w:ilvl w:val="0"/>
                <w:numId w:val="39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Alternative sources of candidate</w:t>
            </w:r>
          </w:p>
          <w:p w:rsidR="00C106B2" w:rsidRPr="00C106B2" w:rsidRDefault="00430BB3" w:rsidP="00C106B2">
            <w:pPr>
              <w:numPr>
                <w:ilvl w:val="0"/>
                <w:numId w:val="39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 good advertisement</w:t>
            </w:r>
          </w:p>
          <w:p w:rsidR="00C106B2" w:rsidRPr="00C106B2" w:rsidRDefault="00C106B2" w:rsidP="00430BB3">
            <w:pPr>
              <w:shd w:val="clear" w:color="auto" w:fill="FFFFFF"/>
              <w:ind w:left="720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C106B2" w:rsidRPr="002A5E4F" w:rsidRDefault="00C106B2" w:rsidP="0072330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  <w:p w:rsidR="00C106B2" w:rsidRPr="00C106B2" w:rsidRDefault="0009153C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Screening applications and selection techniques</w:t>
            </w:r>
          </w:p>
          <w:p w:rsidR="00C106B2" w:rsidRPr="00C106B2" w:rsidRDefault="0009153C" w:rsidP="00C106B2">
            <w:pPr>
              <w:numPr>
                <w:ilvl w:val="0"/>
                <w:numId w:val="40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Objectivity</w:t>
            </w:r>
          </w:p>
          <w:p w:rsidR="00C106B2" w:rsidRPr="00C106B2" w:rsidRDefault="0009153C" w:rsidP="00C106B2">
            <w:pPr>
              <w:numPr>
                <w:ilvl w:val="0"/>
                <w:numId w:val="40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Value of tests and assessment</w:t>
            </w:r>
            <w:r w:rsidRPr="0009153C">
              <w:rPr>
                <w:rFonts w:ascii="Arial" w:eastAsia="Times New Roman" w:hAnsi="Arial" w:cs="Arial"/>
                <w:color w:val="333333"/>
                <w:sz w:val="20"/>
                <w:szCs w:val="20"/>
                <w:lang w:val="en-GB"/>
              </w:rPr>
              <w:t xml:space="preserve"> centres</w:t>
            </w: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C106B2" w:rsidRPr="00C106B2" w:rsidRDefault="0009153C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Interviewing - preparation</w:t>
            </w:r>
          </w:p>
          <w:p w:rsidR="00C106B2" w:rsidRPr="00C106B2" w:rsidRDefault="0009153C" w:rsidP="00C106B2">
            <w:pPr>
              <w:numPr>
                <w:ilvl w:val="0"/>
                <w:numId w:val="41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Need for preparation</w:t>
            </w:r>
          </w:p>
          <w:p w:rsidR="00C106B2" w:rsidRPr="00C106B2" w:rsidRDefault="0009153C" w:rsidP="00C106B2">
            <w:pPr>
              <w:numPr>
                <w:ilvl w:val="0"/>
                <w:numId w:val="41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Types of interview</w:t>
            </w:r>
          </w:p>
          <w:p w:rsidR="00C106B2" w:rsidRPr="00C106B2" w:rsidRDefault="0009153C" w:rsidP="00C106B2">
            <w:pPr>
              <w:numPr>
                <w:ilvl w:val="0"/>
                <w:numId w:val="41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Principles of behavioural interviewing</w:t>
            </w: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  <w:p w:rsidR="00C106B2" w:rsidRDefault="0009153C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Interviewing – first impressions</w:t>
            </w:r>
          </w:p>
          <w:p w:rsidR="0009153C" w:rsidRPr="0009153C" w:rsidRDefault="0009153C" w:rsidP="0009153C">
            <w:pPr>
              <w:pStyle w:val="ListParagraph"/>
              <w:numPr>
                <w:ilvl w:val="0"/>
                <w:numId w:val="46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153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‘horns’ and </w:t>
            </w:r>
            <w:r w:rsidRPr="0009153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‘halo’ effect</w:t>
            </w: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  <w:p w:rsidR="00C106B2" w:rsidRPr="00C106B2" w:rsidRDefault="0009153C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Interviewing – asking the right questions</w:t>
            </w:r>
          </w:p>
          <w:p w:rsidR="00C106B2" w:rsidRPr="00C106B2" w:rsidRDefault="0009153C" w:rsidP="00C106B2">
            <w:pPr>
              <w:numPr>
                <w:ilvl w:val="0"/>
                <w:numId w:val="42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Types of question</w:t>
            </w:r>
          </w:p>
          <w:p w:rsidR="00C106B2" w:rsidRPr="00C106B2" w:rsidRDefault="0009153C" w:rsidP="00C106B2">
            <w:pPr>
              <w:numPr>
                <w:ilvl w:val="0"/>
                <w:numId w:val="42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Interview funnel</w:t>
            </w:r>
          </w:p>
          <w:p w:rsidR="00C106B2" w:rsidRPr="00C106B2" w:rsidRDefault="00C106B2" w:rsidP="0009153C">
            <w:pPr>
              <w:shd w:val="clear" w:color="auto" w:fill="FFFFFF"/>
              <w:ind w:left="720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C106B2" w:rsidRDefault="0009153C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Interviewing – active listening</w:t>
            </w:r>
          </w:p>
          <w:p w:rsidR="0009153C" w:rsidRPr="0009153C" w:rsidRDefault="0009153C" w:rsidP="0009153C">
            <w:pPr>
              <w:pStyle w:val="ListParagraph"/>
              <w:numPr>
                <w:ilvl w:val="0"/>
                <w:numId w:val="46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Barriers to listening</w:t>
            </w: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  <w:p w:rsidR="00C106B2" w:rsidRPr="00C106B2" w:rsidRDefault="0009153C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Making the right appointment</w:t>
            </w:r>
          </w:p>
          <w:p w:rsidR="00C106B2" w:rsidRPr="00C106B2" w:rsidRDefault="0009153C" w:rsidP="00C106B2">
            <w:pPr>
              <w:numPr>
                <w:ilvl w:val="0"/>
                <w:numId w:val="43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Objectivity</w:t>
            </w:r>
          </w:p>
          <w:p w:rsidR="00C106B2" w:rsidRPr="00C106B2" w:rsidRDefault="0009153C" w:rsidP="00C106B2">
            <w:pPr>
              <w:numPr>
                <w:ilvl w:val="0"/>
                <w:numId w:val="43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Who makes the offer</w:t>
            </w:r>
          </w:p>
          <w:p w:rsidR="00C106B2" w:rsidRPr="00C106B2" w:rsidRDefault="0009153C" w:rsidP="00C106B2">
            <w:pPr>
              <w:numPr>
                <w:ilvl w:val="0"/>
                <w:numId w:val="43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Values of reference</w:t>
            </w: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  <w:p w:rsidR="00C106B2" w:rsidRPr="00C106B2" w:rsidRDefault="0009153C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One-to-one interview practice</w:t>
            </w: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  <w:p w:rsidR="00C106B2" w:rsidRPr="00513AF1" w:rsidRDefault="00C106B2" w:rsidP="00C106B2">
            <w:pPr>
              <w:shd w:val="clear" w:color="auto" w:fill="FFFFFF"/>
              <w:jc w:val="both"/>
              <w:textAlignment w:val="top"/>
              <w:rPr>
                <w:rFonts w:eastAsia="Times New Roman"/>
                <w:b/>
                <w:color w:val="333333"/>
                <w:sz w:val="16"/>
                <w:szCs w:val="16"/>
              </w:rPr>
            </w:pPr>
          </w:p>
          <w:p w:rsidR="00E028E3" w:rsidRPr="00C2667E" w:rsidRDefault="00E028E3" w:rsidP="00C2667E">
            <w:pP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05A37" w:rsidRDefault="00205A37" w:rsidP="003A1BBA">
            <w:pPr>
              <w:jc w:val="both"/>
              <w:textAlignment w:val="top"/>
              <w:rPr>
                <w:rFonts w:ascii="Century Gothic" w:eastAsia="Times New Roman" w:hAnsi="Century Gothic"/>
                <w:color w:val="7F7F7F" w:themeColor="text1" w:themeTint="80"/>
              </w:rPr>
            </w:pPr>
          </w:p>
          <w:p w:rsidR="00E028E3" w:rsidRP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 w:rsidRPr="00E028E3">
              <w:rPr>
                <w:rFonts w:ascii="Arial" w:eastAsia="Times New Roman" w:hAnsi="Arial" w:cs="Arial"/>
                <w:b/>
                <w:color w:val="298CAA"/>
              </w:rPr>
              <w:t>Contact information</w:t>
            </w:r>
          </w:p>
          <w:p w:rsidR="00E028E3" w:rsidRDefault="00E028E3" w:rsidP="003A1BBA">
            <w:pPr>
              <w:jc w:val="both"/>
              <w:textAlignment w:val="top"/>
              <w:rPr>
                <w:rFonts w:ascii="Century Gothic" w:eastAsia="Times New Roman" w:hAnsi="Century Gothic"/>
                <w:color w:val="298CAA"/>
              </w:rPr>
            </w:pP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Jeanette Lonsdale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HR Consultant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First Call HR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Tel: +44 (0)7917 333999</w:t>
            </w:r>
          </w:p>
          <w:p w:rsidR="00900EC2" w:rsidRPr="00900EC2" w:rsidRDefault="00900EC2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Tel: +44 (0)1295 720988</w:t>
            </w:r>
          </w:p>
          <w:p w:rsidR="00900EC2" w:rsidRPr="00900EC2" w:rsidRDefault="00900EC2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Pr="00E028E3" w:rsidRDefault="00E028E3" w:rsidP="00D13A43">
            <w:pPr>
              <w:ind w:right="-306"/>
              <w:jc w:val="both"/>
              <w:textAlignment w:val="top"/>
              <w:rPr>
                <w:rFonts w:ascii="Century Gothic" w:eastAsia="Times New Roman" w:hAnsi="Century Gothic"/>
                <w:color w:val="298CAA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Email:</w:t>
            </w:r>
            <w:r w:rsidR="00D13A43"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 xml:space="preserve"> j</w:t>
            </w: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eanette@</w:t>
            </w:r>
            <w:r w:rsidR="00D13A43"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firstcallhr.com</w:t>
            </w:r>
          </w:p>
        </w:tc>
      </w:tr>
    </w:tbl>
    <w:p w:rsidR="00E028E3" w:rsidRPr="003A1BBA" w:rsidRDefault="00E028E3" w:rsidP="00CD4D7A">
      <w:pPr>
        <w:shd w:val="clear" w:color="auto" w:fill="FFFFFF"/>
        <w:tabs>
          <w:tab w:val="left" w:pos="4395"/>
        </w:tabs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p w:rsidR="003A1BBA" w:rsidRDefault="003A1BBA" w:rsidP="003A1BBA">
      <w:pPr>
        <w:shd w:val="clear" w:color="auto" w:fill="FFFFFF"/>
        <w:spacing w:after="0"/>
        <w:ind w:left="-993"/>
        <w:jc w:val="both"/>
        <w:textAlignment w:val="top"/>
        <w:rPr>
          <w:rFonts w:ascii="Century Gothic" w:eastAsia="Times New Roman" w:hAnsi="Century Gothic"/>
          <w:color w:val="7F7F7F" w:themeColor="text1" w:themeTint="80"/>
          <w:sz w:val="18"/>
          <w:szCs w:val="18"/>
        </w:rPr>
      </w:pPr>
    </w:p>
    <w:p w:rsidR="003A1BBA" w:rsidRPr="003A1BBA" w:rsidRDefault="003A1BBA" w:rsidP="003A1BBA">
      <w:pPr>
        <w:shd w:val="clear" w:color="auto" w:fill="FFFFFF"/>
        <w:spacing w:after="0"/>
        <w:ind w:left="-567"/>
        <w:jc w:val="both"/>
        <w:textAlignment w:val="top"/>
        <w:rPr>
          <w:rFonts w:ascii="Century Gothic" w:eastAsia="Times New Roman" w:hAnsi="Century Gothic"/>
          <w:color w:val="7F7F7F" w:themeColor="text1" w:themeTint="80"/>
          <w:sz w:val="18"/>
          <w:szCs w:val="18"/>
        </w:rPr>
        <w:sectPr w:rsidR="003A1BBA" w:rsidRPr="003A1BBA">
          <w:headerReference w:type="default" r:id="rId9"/>
          <w:footerReference w:type="default" r:id="rId10"/>
          <w:type w:val="continuous"/>
          <w:pgSz w:w="11907" w:h="16839" w:code="9"/>
          <w:pgMar w:top="720" w:right="567" w:bottom="720" w:left="567" w:header="709" w:footer="709" w:gutter="0"/>
          <w:paperSrc w:first="7"/>
          <w:cols w:space="708"/>
          <w:docGrid w:linePitch="326"/>
        </w:sectPr>
      </w:pPr>
    </w:p>
    <w:p w:rsidR="00485BFF" w:rsidRPr="00900EC2" w:rsidRDefault="00485BFF" w:rsidP="007E2BE0">
      <w:pPr>
        <w:tabs>
          <w:tab w:val="left" w:pos="1085"/>
        </w:tabs>
        <w:rPr>
          <w:rFonts w:ascii="Century Gothic" w:hAnsi="Century Gothic"/>
          <w:sz w:val="18"/>
          <w:szCs w:val="18"/>
          <w:lang w:val="en-GB"/>
        </w:rPr>
      </w:pPr>
    </w:p>
    <w:sectPr w:rsidR="00485BFF" w:rsidRPr="00900EC2" w:rsidSect="005E4593">
      <w:type w:val="continuous"/>
      <w:pgSz w:w="11907" w:h="16839" w:code="9"/>
      <w:pgMar w:top="1440" w:right="1275" w:bottom="1440" w:left="179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28" w:rsidRDefault="00362F28" w:rsidP="008B5165">
      <w:pPr>
        <w:spacing w:after="0"/>
      </w:pPr>
      <w:r>
        <w:separator/>
      </w:r>
    </w:p>
  </w:endnote>
  <w:endnote w:type="continuationSeparator" w:id="0">
    <w:p w:rsidR="00362F28" w:rsidRDefault="00362F28" w:rsidP="008B51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D3" w:rsidRDefault="00362F28" w:rsidP="007143D3">
    <w:pPr>
      <w:tabs>
        <w:tab w:val="left" w:pos="1085"/>
        <w:tab w:val="left" w:pos="7945"/>
      </w:tabs>
      <w:spacing w:before="240"/>
      <w:rPr>
        <w:rFonts w:ascii="Century Gothic" w:hAnsi="Century Gothic"/>
        <w:noProof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5pt;margin-top:5.2pt;width:225.95pt;height:28pt;z-index:251659264" filled="f" stroked="f">
          <v:fill o:detectmouseclick="t"/>
          <v:textbox style="mso-next-textbox:#_x0000_s2049" inset=",7.2pt,,7.2pt">
            <w:txbxContent>
              <w:p w:rsidR="00061B13" w:rsidRPr="00ED3D44" w:rsidRDefault="00061B13" w:rsidP="00061B13">
                <w:pPr>
                  <w:tabs>
                    <w:tab w:val="left" w:pos="1085"/>
                  </w:tabs>
                  <w:jc w:val="right"/>
                  <w:rPr>
                    <w:rFonts w:ascii="Century Gothic" w:hAnsi="Century Gothic"/>
                    <w:sz w:val="18"/>
                    <w:szCs w:val="18"/>
                    <w:lang w:val="en-GB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  <w:lang w:val="en-GB"/>
                  </w:rPr>
                  <w:t>Copyright – First Call HR 2012. All rights reserved</w:t>
                </w:r>
              </w:p>
              <w:p w:rsidR="00061B13" w:rsidRDefault="00061B13"/>
            </w:txbxContent>
          </v:textbox>
        </v:shape>
      </w:pict>
    </w:r>
    <w:r w:rsidR="00D62C27">
      <w:rPr>
        <w:noProof/>
        <w:lang w:val="en-GB" w:eastAsia="en-GB"/>
      </w:rPr>
      <w:drawing>
        <wp:inline distT="0" distB="0" distL="0" distR="0">
          <wp:extent cx="1033145" cy="154305"/>
          <wp:effectExtent l="19050" t="0" r="0" b="0"/>
          <wp:docPr id="7" name="Picture 2" descr="C:\Documents and Settings\RG\Desktop\First Call HR\2.0 First Call HR\2.6 Marketing\Logo Designs\hr_sim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G\Desktop\First Call HR\2.0 First Call HR\2.6 Marketing\Logo Designs\hr_simp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54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0EC2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-103489</wp:posOffset>
          </wp:positionH>
          <wp:positionV relativeFrom="paragraph">
            <wp:posOffset>4899</wp:posOffset>
          </wp:positionV>
          <wp:extent cx="7102335" cy="403761"/>
          <wp:effectExtent l="19050" t="0" r="3315" b="0"/>
          <wp:wrapNone/>
          <wp:docPr id="1" name="Objec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144000" cy="838200"/>
                    <a:chOff x="0" y="6019800"/>
                    <a:chExt cx="9144000" cy="838200"/>
                  </a:xfrm>
                </a:grpSpPr>
                <a:sp>
                  <a:nvSpPr>
                    <a:cNvPr id="4" name="Rectangle 3"/>
                    <a:cNvSpPr/>
                  </a:nvSpPr>
                  <a:spPr>
                    <a:xfrm>
                      <a:off x="0" y="6019800"/>
                      <a:ext cx="9144000" cy="838200"/>
                    </a:xfrm>
                    <a:prstGeom prst="rect">
                      <a:avLst/>
                    </a:prstGeom>
                    <a:solidFill>
                      <a:srgbClr val="298CAA"/>
                    </a:solidFill>
                  </a:spPr>
                  <a:txSp>
                    <a:txBody>
                      <a:bodyPr rtlCol="0" anchor="ctr"/>
                      <a:lstStyle>
                        <a:defPPr>
                          <a:defRPr lang="en-US"/>
                        </a:defPPr>
                        <a:lvl1pPr marL="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endParaRPr lang="en-US" dirty="0"/>
                      </a:p>
                    </a:txBody>
                    <a:useSpRect/>
                  </a:txSp>
                  <a:style>
                    <a:lnRef idx="1">
                      <a:schemeClr val="accent1"/>
                    </a:lnRef>
                    <a:fillRef idx="3">
                      <a:schemeClr val="accent1"/>
                    </a:fillRef>
                    <a:effectRef idx="2">
                      <a:schemeClr val="accent1"/>
                    </a:effectRef>
                    <a:fontRef idx="minor">
                      <a:schemeClr val="lt1"/>
                    </a:fontRef>
                  </a:style>
                </a:sp>
              </lc:lockedCanvas>
            </a:graphicData>
          </a:graphic>
        </wp:anchor>
      </w:drawing>
    </w:r>
  </w:p>
  <w:p w:rsidR="00485BFF" w:rsidRPr="00FE2E86" w:rsidRDefault="00061B13" w:rsidP="00061B13">
    <w:pPr>
      <w:tabs>
        <w:tab w:val="left" w:pos="1085"/>
        <w:tab w:val="left" w:pos="7945"/>
      </w:tabs>
      <w:rPr>
        <w:rFonts w:ascii="Century Gothic" w:hAnsi="Century Gothic"/>
        <w:noProof/>
        <w:sz w:val="18"/>
        <w:szCs w:val="18"/>
      </w:rPr>
    </w:pPr>
    <w:r w:rsidRPr="00FE2E86">
      <w:rPr>
        <w:rFonts w:ascii="Century Gothic" w:hAnsi="Century Gothic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28" w:rsidRDefault="00362F28" w:rsidP="008B5165">
      <w:pPr>
        <w:spacing w:after="0"/>
      </w:pPr>
      <w:r>
        <w:separator/>
      </w:r>
    </w:p>
  </w:footnote>
  <w:footnote w:type="continuationSeparator" w:id="0">
    <w:p w:rsidR="00362F28" w:rsidRDefault="00362F28" w:rsidP="008B51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F5" w:rsidRDefault="00064BF1" w:rsidP="00442E01">
    <w:pPr>
      <w:pStyle w:val="Header"/>
      <w:ind w:right="-7"/>
      <w:jc w:val="right"/>
      <w:rPr>
        <w:rFonts w:ascii="Verdana" w:hAnsi="Verdana"/>
        <w:sz w:val="20"/>
      </w:rPr>
    </w:pPr>
    <w:r>
      <w:rPr>
        <w:rFonts w:ascii="Verdana" w:hAnsi="Verdana"/>
        <w:noProof/>
        <w:sz w:val="20"/>
        <w:lang w:val="en-GB" w:eastAsia="en-GB"/>
      </w:rPr>
      <w:drawing>
        <wp:inline distT="0" distB="0" distL="0" distR="0">
          <wp:extent cx="1685925" cy="1038225"/>
          <wp:effectExtent l="19050" t="0" r="9525" b="0"/>
          <wp:docPr id="9" name="Picture 3" descr="C:\Documents and Settings\RG\Desktop\First Call HR\2.0 First Call HR\2.6 Marketing\Logo Designs\fc-hr_600x600_300dpi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RG\Desktop\First Call HR\2.0 First Call HR\2.6 Marketing\Logo Designs\fc-hr_600x600_300dpi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7AF1" w:rsidRPr="008801F5" w:rsidRDefault="00467AF1" w:rsidP="008801F5">
    <w:pPr>
      <w:pStyle w:val="Header"/>
      <w:ind w:right="-851"/>
      <w:jc w:val="right"/>
      <w:rPr>
        <w:rFonts w:ascii="Verdana" w:hAnsi="Verdan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612"/>
    <w:multiLevelType w:val="hybridMultilevel"/>
    <w:tmpl w:val="E4A8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1270F"/>
    <w:multiLevelType w:val="hybridMultilevel"/>
    <w:tmpl w:val="54C8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9379B"/>
    <w:multiLevelType w:val="hybridMultilevel"/>
    <w:tmpl w:val="0CCC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24F35"/>
    <w:multiLevelType w:val="hybridMultilevel"/>
    <w:tmpl w:val="E236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B7CBB"/>
    <w:multiLevelType w:val="multilevel"/>
    <w:tmpl w:val="E7B8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F5A43"/>
    <w:multiLevelType w:val="hybridMultilevel"/>
    <w:tmpl w:val="E5CC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41595"/>
    <w:multiLevelType w:val="multilevel"/>
    <w:tmpl w:val="784A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E770F"/>
    <w:multiLevelType w:val="hybridMultilevel"/>
    <w:tmpl w:val="A21A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F4D2F"/>
    <w:multiLevelType w:val="hybridMultilevel"/>
    <w:tmpl w:val="95C4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B5FF6"/>
    <w:multiLevelType w:val="hybridMultilevel"/>
    <w:tmpl w:val="3708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7315E"/>
    <w:multiLevelType w:val="hybridMultilevel"/>
    <w:tmpl w:val="65E0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C6592"/>
    <w:multiLevelType w:val="hybridMultilevel"/>
    <w:tmpl w:val="A8FE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F6231"/>
    <w:multiLevelType w:val="hybridMultilevel"/>
    <w:tmpl w:val="7C42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56A9B"/>
    <w:multiLevelType w:val="multilevel"/>
    <w:tmpl w:val="047E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27725F"/>
    <w:multiLevelType w:val="hybridMultilevel"/>
    <w:tmpl w:val="E96A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94829"/>
    <w:multiLevelType w:val="hybridMultilevel"/>
    <w:tmpl w:val="9C50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9203EC"/>
    <w:multiLevelType w:val="hybridMultilevel"/>
    <w:tmpl w:val="3B48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FD6B97"/>
    <w:multiLevelType w:val="hybridMultilevel"/>
    <w:tmpl w:val="1F12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C72BFF"/>
    <w:multiLevelType w:val="hybridMultilevel"/>
    <w:tmpl w:val="1DF8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607A52"/>
    <w:multiLevelType w:val="hybridMultilevel"/>
    <w:tmpl w:val="B21A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75602B"/>
    <w:multiLevelType w:val="hybridMultilevel"/>
    <w:tmpl w:val="4398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D557F8"/>
    <w:multiLevelType w:val="hybridMultilevel"/>
    <w:tmpl w:val="40CC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FC38C9"/>
    <w:multiLevelType w:val="hybridMultilevel"/>
    <w:tmpl w:val="693E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9277B3"/>
    <w:multiLevelType w:val="hybridMultilevel"/>
    <w:tmpl w:val="D00E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1755A6"/>
    <w:multiLevelType w:val="hybridMultilevel"/>
    <w:tmpl w:val="F95C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2039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9914D2"/>
    <w:multiLevelType w:val="multilevel"/>
    <w:tmpl w:val="BB9C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BF1CBC"/>
    <w:multiLevelType w:val="hybridMultilevel"/>
    <w:tmpl w:val="F97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5B7BBE"/>
    <w:multiLevelType w:val="hybridMultilevel"/>
    <w:tmpl w:val="B78C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EC40BC"/>
    <w:multiLevelType w:val="hybridMultilevel"/>
    <w:tmpl w:val="72F8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00D4B"/>
    <w:multiLevelType w:val="hybridMultilevel"/>
    <w:tmpl w:val="04FE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8F2EEA"/>
    <w:multiLevelType w:val="hybridMultilevel"/>
    <w:tmpl w:val="2074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D9208B"/>
    <w:multiLevelType w:val="hybridMultilevel"/>
    <w:tmpl w:val="162C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046569"/>
    <w:multiLevelType w:val="hybridMultilevel"/>
    <w:tmpl w:val="67BA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2A45B1"/>
    <w:multiLevelType w:val="hybridMultilevel"/>
    <w:tmpl w:val="BCF4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6F10B4"/>
    <w:multiLevelType w:val="hybridMultilevel"/>
    <w:tmpl w:val="D834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240A0A"/>
    <w:multiLevelType w:val="hybridMultilevel"/>
    <w:tmpl w:val="B12A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4746ED"/>
    <w:multiLevelType w:val="hybridMultilevel"/>
    <w:tmpl w:val="8A64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692AAD"/>
    <w:multiLevelType w:val="hybridMultilevel"/>
    <w:tmpl w:val="DC02C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DC46D2"/>
    <w:multiLevelType w:val="hybridMultilevel"/>
    <w:tmpl w:val="CD6C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0C187D"/>
    <w:multiLevelType w:val="hybridMultilevel"/>
    <w:tmpl w:val="9064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1E0EC5"/>
    <w:multiLevelType w:val="hybridMultilevel"/>
    <w:tmpl w:val="9D46E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337642"/>
    <w:multiLevelType w:val="hybridMultilevel"/>
    <w:tmpl w:val="46E8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4A0B21"/>
    <w:multiLevelType w:val="hybridMultilevel"/>
    <w:tmpl w:val="5E28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A35645"/>
    <w:multiLevelType w:val="hybridMultilevel"/>
    <w:tmpl w:val="7E56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577C3E"/>
    <w:multiLevelType w:val="hybridMultilevel"/>
    <w:tmpl w:val="53F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402E97"/>
    <w:multiLevelType w:val="hybridMultilevel"/>
    <w:tmpl w:val="8B42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3"/>
  </w:num>
  <w:num w:numId="4">
    <w:abstractNumId w:val="44"/>
  </w:num>
  <w:num w:numId="5">
    <w:abstractNumId w:val="8"/>
  </w:num>
  <w:num w:numId="6">
    <w:abstractNumId w:val="19"/>
  </w:num>
  <w:num w:numId="7">
    <w:abstractNumId w:val="41"/>
  </w:num>
  <w:num w:numId="8">
    <w:abstractNumId w:val="43"/>
  </w:num>
  <w:num w:numId="9">
    <w:abstractNumId w:val="1"/>
  </w:num>
  <w:num w:numId="10">
    <w:abstractNumId w:val="21"/>
  </w:num>
  <w:num w:numId="11">
    <w:abstractNumId w:val="3"/>
  </w:num>
  <w:num w:numId="12">
    <w:abstractNumId w:val="14"/>
  </w:num>
  <w:num w:numId="13">
    <w:abstractNumId w:val="22"/>
  </w:num>
  <w:num w:numId="14">
    <w:abstractNumId w:val="26"/>
  </w:num>
  <w:num w:numId="15">
    <w:abstractNumId w:val="36"/>
  </w:num>
  <w:num w:numId="16">
    <w:abstractNumId w:val="32"/>
  </w:num>
  <w:num w:numId="17">
    <w:abstractNumId w:val="27"/>
  </w:num>
  <w:num w:numId="18">
    <w:abstractNumId w:val="7"/>
  </w:num>
  <w:num w:numId="19">
    <w:abstractNumId w:val="25"/>
  </w:num>
  <w:num w:numId="20">
    <w:abstractNumId w:val="33"/>
  </w:num>
  <w:num w:numId="21">
    <w:abstractNumId w:val="38"/>
  </w:num>
  <w:num w:numId="22">
    <w:abstractNumId w:val="2"/>
  </w:num>
  <w:num w:numId="23">
    <w:abstractNumId w:val="28"/>
  </w:num>
  <w:num w:numId="24">
    <w:abstractNumId w:val="16"/>
  </w:num>
  <w:num w:numId="25">
    <w:abstractNumId w:val="23"/>
  </w:num>
  <w:num w:numId="26">
    <w:abstractNumId w:val="12"/>
  </w:num>
  <w:num w:numId="27">
    <w:abstractNumId w:val="6"/>
  </w:num>
  <w:num w:numId="28">
    <w:abstractNumId w:val="42"/>
  </w:num>
  <w:num w:numId="29">
    <w:abstractNumId w:val="5"/>
  </w:num>
  <w:num w:numId="30">
    <w:abstractNumId w:val="15"/>
  </w:num>
  <w:num w:numId="31">
    <w:abstractNumId w:val="45"/>
  </w:num>
  <w:num w:numId="32">
    <w:abstractNumId w:val="10"/>
  </w:num>
  <w:num w:numId="33">
    <w:abstractNumId w:val="0"/>
  </w:num>
  <w:num w:numId="34">
    <w:abstractNumId w:val="18"/>
  </w:num>
  <w:num w:numId="35">
    <w:abstractNumId w:val="17"/>
  </w:num>
  <w:num w:numId="36">
    <w:abstractNumId w:val="9"/>
  </w:num>
  <w:num w:numId="37">
    <w:abstractNumId w:val="4"/>
  </w:num>
  <w:num w:numId="38">
    <w:abstractNumId w:val="30"/>
  </w:num>
  <w:num w:numId="39">
    <w:abstractNumId w:val="34"/>
  </w:num>
  <w:num w:numId="40">
    <w:abstractNumId w:val="24"/>
  </w:num>
  <w:num w:numId="41">
    <w:abstractNumId w:val="11"/>
  </w:num>
  <w:num w:numId="42">
    <w:abstractNumId w:val="35"/>
  </w:num>
  <w:num w:numId="43">
    <w:abstractNumId w:val="20"/>
  </w:num>
  <w:num w:numId="44">
    <w:abstractNumId w:val="40"/>
  </w:num>
  <w:num w:numId="45">
    <w:abstractNumId w:val="3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67AF1"/>
    <w:rsid w:val="00015622"/>
    <w:rsid w:val="00061B13"/>
    <w:rsid w:val="00064BF1"/>
    <w:rsid w:val="00084DF1"/>
    <w:rsid w:val="0009153C"/>
    <w:rsid w:val="00095C25"/>
    <w:rsid w:val="000E40FD"/>
    <w:rsid w:val="001678B7"/>
    <w:rsid w:val="001C4C45"/>
    <w:rsid w:val="00205A37"/>
    <w:rsid w:val="00263ED0"/>
    <w:rsid w:val="002A5E4F"/>
    <w:rsid w:val="002C1B69"/>
    <w:rsid w:val="003506D8"/>
    <w:rsid w:val="00362F28"/>
    <w:rsid w:val="003746F0"/>
    <w:rsid w:val="003A1BBA"/>
    <w:rsid w:val="00413769"/>
    <w:rsid w:val="00430BB3"/>
    <w:rsid w:val="00437CCA"/>
    <w:rsid w:val="00442E01"/>
    <w:rsid w:val="00444552"/>
    <w:rsid w:val="00467AF1"/>
    <w:rsid w:val="00485BFF"/>
    <w:rsid w:val="005D67DA"/>
    <w:rsid w:val="005E4593"/>
    <w:rsid w:val="006127F5"/>
    <w:rsid w:val="006266D1"/>
    <w:rsid w:val="0064772A"/>
    <w:rsid w:val="0067035D"/>
    <w:rsid w:val="0071142C"/>
    <w:rsid w:val="007143D3"/>
    <w:rsid w:val="0072330A"/>
    <w:rsid w:val="00723A87"/>
    <w:rsid w:val="007E2BE0"/>
    <w:rsid w:val="00805ACF"/>
    <w:rsid w:val="008801F5"/>
    <w:rsid w:val="008842AB"/>
    <w:rsid w:val="008B5165"/>
    <w:rsid w:val="00900EC2"/>
    <w:rsid w:val="00AB711C"/>
    <w:rsid w:val="00BC1128"/>
    <w:rsid w:val="00BC5739"/>
    <w:rsid w:val="00C106B2"/>
    <w:rsid w:val="00C2667E"/>
    <w:rsid w:val="00C67995"/>
    <w:rsid w:val="00C82C48"/>
    <w:rsid w:val="00CD4D7A"/>
    <w:rsid w:val="00D13A43"/>
    <w:rsid w:val="00D56FC0"/>
    <w:rsid w:val="00D62C27"/>
    <w:rsid w:val="00E028E3"/>
    <w:rsid w:val="00E13986"/>
    <w:rsid w:val="00E40B29"/>
    <w:rsid w:val="00E648D8"/>
    <w:rsid w:val="00E77C38"/>
    <w:rsid w:val="00EA633D"/>
    <w:rsid w:val="00ED3D44"/>
    <w:rsid w:val="00F34C09"/>
    <w:rsid w:val="00FE2E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06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A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7AF1"/>
  </w:style>
  <w:style w:type="paragraph" w:styleId="Footer">
    <w:name w:val="footer"/>
    <w:basedOn w:val="Normal"/>
    <w:link w:val="FooterChar"/>
    <w:uiPriority w:val="99"/>
    <w:unhideWhenUsed/>
    <w:rsid w:val="00467A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7AF1"/>
  </w:style>
  <w:style w:type="paragraph" w:styleId="BalloonText">
    <w:name w:val="Balloon Text"/>
    <w:basedOn w:val="Normal"/>
    <w:link w:val="BalloonTextChar"/>
    <w:uiPriority w:val="99"/>
    <w:semiHidden/>
    <w:unhideWhenUsed/>
    <w:rsid w:val="006127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B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E01"/>
    <w:pPr>
      <w:spacing w:line="276" w:lineRule="auto"/>
      <w:ind w:left="720"/>
      <w:contextualSpacing/>
    </w:pPr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E028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A5E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CBDA8-FB35-483C-85FA-E22BD3A3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Chris Deeley</cp:lastModifiedBy>
  <cp:revision>2</cp:revision>
  <cp:lastPrinted>2012-09-27T21:07:00Z</cp:lastPrinted>
  <dcterms:created xsi:type="dcterms:W3CDTF">2013-08-23T09:02:00Z</dcterms:created>
  <dcterms:modified xsi:type="dcterms:W3CDTF">2013-08-23T09:02:00Z</dcterms:modified>
</cp:coreProperties>
</file>