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161990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Delegating Effectively</w:t>
      </w:r>
    </w:p>
    <w:p w:rsidR="00161990" w:rsidRPr="00161990" w:rsidRDefault="00161990" w:rsidP="00161990">
      <w:pPr>
        <w:spacing w:after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161990">
        <w:rPr>
          <w:rFonts w:ascii="Arial" w:hAnsi="Arial" w:cs="Arial"/>
          <w:color w:val="808080" w:themeColor="background1" w:themeShade="80"/>
          <w:lang w:val="en-GB"/>
        </w:rPr>
        <w:t>This 1-day course is designed to give you the confidence and skills you need to delegate tasks and responsibilities productively and constructively.</w:t>
      </w:r>
    </w:p>
    <w:p w:rsidR="00380552" w:rsidRPr="00380552" w:rsidRDefault="00380552" w:rsidP="0038055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808080" w:themeColor="background1" w:themeShade="80"/>
        </w:rPr>
      </w:pPr>
    </w:p>
    <w:p w:rsidR="003506D8" w:rsidRDefault="003506D8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583E9F" w:rsidRDefault="00E028E3" w:rsidP="00583E9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1990" w:rsidRPr="00161990" w:rsidRDefault="00161990" w:rsidP="001619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1990">
              <w:rPr>
                <w:rFonts w:ascii="Arial" w:hAnsi="Arial" w:cs="Arial"/>
                <w:sz w:val="20"/>
                <w:szCs w:val="20"/>
                <w:lang w:val="en-GB"/>
              </w:rPr>
              <w:t>Newly promoted managers who wish to develop themselves and their teams through delegation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61990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managers whose workload prevents them from devoting time to strategic work and managers who want to use delegation to develop specific capabilities in their teams.</w:t>
            </w:r>
          </w:p>
          <w:p w:rsidR="00C2667E" w:rsidRDefault="00C2667E" w:rsidP="00C2667E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C2667E" w:rsidRDefault="00C67995" w:rsidP="00C679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161990" w:rsidRPr="00161990" w:rsidRDefault="00161990" w:rsidP="008A563B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 the end of the </w:t>
            </w:r>
            <w:r w:rsidRPr="001619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Delegating Effectively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course you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be able to 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the right tasks for delegation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 your delegation to minimise the risks</w:t>
            </w:r>
            <w:r w:rsid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adapt your delegation plan to suit the development level of the person to whom you are delegating</w:t>
            </w:r>
            <w:r w:rsid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brief tasks with clarity and precision</w:t>
            </w:r>
            <w:r w:rsid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monitor progress</w:t>
            </w:r>
            <w:r w:rsid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release your own time for more strategi</w:t>
            </w:r>
            <w:r w:rsid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 work and personal development; 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delegation to trigger motivation and commitment</w:t>
            </w:r>
            <w:r w:rsid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</w:t>
            </w: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61990" w:rsidRPr="00161990" w:rsidRDefault="00161990" w:rsidP="002810B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delegation to raise standards in your team.</w:t>
            </w:r>
          </w:p>
          <w:p w:rsidR="00C106B2" w:rsidRPr="002A5E4F" w:rsidRDefault="00C106B2" w:rsidP="00583E9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F3BC0" w:rsidRDefault="00CF3BC0" w:rsidP="00CF3BC0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  <w:p w:rsidR="00583E9F" w:rsidRPr="00D56FC0" w:rsidRDefault="00583E9F" w:rsidP="00583E9F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583E9F" w:rsidRPr="008A563B" w:rsidRDefault="00583E9F" w:rsidP="008A56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A563B" w:rsidRPr="008A563B" w:rsidRDefault="008A563B" w:rsidP="008A56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563B">
              <w:rPr>
                <w:rFonts w:ascii="Arial" w:hAnsi="Arial" w:cs="Arial"/>
                <w:b/>
                <w:sz w:val="20"/>
                <w:szCs w:val="20"/>
                <w:lang w:val="en-GB"/>
              </w:rPr>
              <w:t>Definition of delegation</w:t>
            </w:r>
          </w:p>
          <w:p w:rsidR="008A563B" w:rsidRPr="008A563B" w:rsidRDefault="008A563B" w:rsidP="008A563B">
            <w:pPr>
              <w:pStyle w:val="Heading3"/>
              <w:shd w:val="clear" w:color="auto" w:fill="FFFFFF"/>
              <w:outlineLvl w:val="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A563B" w:rsidRPr="008A563B" w:rsidRDefault="008A563B" w:rsidP="008A563B">
            <w:pPr>
              <w:pStyle w:val="Heading3"/>
              <w:shd w:val="clear" w:color="auto" w:fill="FFFFFF"/>
              <w:outlineLvl w:val="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563B">
              <w:rPr>
                <w:rFonts w:ascii="Arial" w:hAnsi="Arial" w:cs="Arial"/>
                <w:b/>
                <w:color w:val="auto"/>
                <w:sz w:val="20"/>
                <w:szCs w:val="20"/>
              </w:rPr>
              <w:t>Why delegate?</w:t>
            </w:r>
          </w:p>
          <w:p w:rsidR="008A563B" w:rsidRPr="008A563B" w:rsidRDefault="008A563B" w:rsidP="002810B9">
            <w:pPr>
              <w:pStyle w:val="Heading3"/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426" w:firstLine="0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A563B">
              <w:rPr>
                <w:rFonts w:ascii="Arial" w:hAnsi="Arial" w:cs="Arial"/>
                <w:color w:val="000000"/>
                <w:sz w:val="20"/>
                <w:szCs w:val="20"/>
              </w:rPr>
              <w:t>he benefits of 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egation</w:t>
            </w:r>
          </w:p>
          <w:p w:rsidR="008A563B" w:rsidRPr="008A563B" w:rsidRDefault="008A563B" w:rsidP="002810B9">
            <w:pPr>
              <w:pStyle w:val="Heading3"/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426" w:firstLine="0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563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risks of not delegating </w:t>
            </w:r>
          </w:p>
          <w:p w:rsidR="008A563B" w:rsidRPr="008A563B" w:rsidRDefault="008A563B" w:rsidP="008A563B">
            <w:pPr>
              <w:pStyle w:val="Heading3"/>
              <w:shd w:val="clear" w:color="auto" w:fill="FFFFFF"/>
              <w:ind w:left="426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563B" w:rsidRPr="008A563B" w:rsidRDefault="008A563B" w:rsidP="008A563B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Why managers don’t delegate and why they should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74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 that no else will do the job as well as they themselves can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459"/>
              </w:tabs>
              <w:ind w:left="74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 of delegating authority along with responsibility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742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 of mistakes being made – and of the repercussions</w:t>
            </w:r>
          </w:p>
          <w:p w:rsidR="008A563B" w:rsidRPr="008A563B" w:rsidRDefault="008A563B" w:rsidP="008A563B">
            <w:pPr>
              <w:shd w:val="clear" w:color="auto" w:fill="FFFFFF"/>
              <w:ind w:left="4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A563B" w:rsidRPr="008A563B" w:rsidRDefault="008A563B" w:rsidP="008A563B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How do I compare? 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426" w:firstLine="0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8A5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elf-assessment</w:t>
            </w:r>
          </w:p>
          <w:p w:rsidR="008A563B" w:rsidRPr="008A563B" w:rsidRDefault="008A563B" w:rsidP="008A563B">
            <w:pPr>
              <w:shd w:val="clear" w:color="auto" w:fill="FFFFFF"/>
              <w:ind w:left="426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A563B" w:rsidRPr="008A563B" w:rsidRDefault="008A563B" w:rsidP="008A563B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b/>
                <w:sz w:val="20"/>
                <w:szCs w:val="20"/>
              </w:rPr>
              <w:t>Four management styles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426" w:firstLine="0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sz w:val="20"/>
                <w:szCs w:val="20"/>
              </w:rPr>
              <w:t>Coaching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426" w:firstLine="0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sz w:val="20"/>
                <w:szCs w:val="20"/>
              </w:rPr>
              <w:t>Supporting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426" w:firstLine="0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sz w:val="20"/>
                <w:szCs w:val="20"/>
              </w:rPr>
              <w:t>Directing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09"/>
              </w:tabs>
              <w:ind w:left="426" w:firstLine="0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sz w:val="20"/>
                <w:szCs w:val="20"/>
              </w:rPr>
              <w:t>Empowering</w:t>
            </w:r>
          </w:p>
          <w:p w:rsidR="008A563B" w:rsidRPr="008A563B" w:rsidRDefault="008A563B" w:rsidP="008A563B">
            <w:pPr>
              <w:shd w:val="clear" w:color="auto" w:fill="FFFFFF"/>
              <w:ind w:left="426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A563B" w:rsidRPr="008A563B" w:rsidRDefault="008A563B" w:rsidP="008A56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563B">
              <w:rPr>
                <w:rFonts w:ascii="Arial" w:hAnsi="Arial" w:cs="Arial"/>
                <w:b/>
                <w:sz w:val="20"/>
                <w:szCs w:val="20"/>
                <w:lang w:val="en-GB"/>
              </w:rPr>
              <w:t>Kaizen and the delegation process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tabs>
                <w:tab w:val="clear" w:pos="1440"/>
                <w:tab w:val="num" w:pos="709"/>
              </w:tabs>
              <w:ind w:left="426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563B">
              <w:rPr>
                <w:rFonts w:ascii="Arial" w:hAnsi="Arial" w:cs="Arial"/>
                <w:sz w:val="20"/>
                <w:szCs w:val="20"/>
                <w:lang w:val="en-GB"/>
              </w:rPr>
              <w:t xml:space="preserve">Plan 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tabs>
                <w:tab w:val="clear" w:pos="1440"/>
                <w:tab w:val="num" w:pos="709"/>
              </w:tabs>
              <w:ind w:left="426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563B">
              <w:rPr>
                <w:rFonts w:ascii="Arial" w:hAnsi="Arial" w:cs="Arial"/>
                <w:sz w:val="20"/>
                <w:szCs w:val="20"/>
                <w:lang w:val="en-GB"/>
              </w:rPr>
              <w:t>Do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tabs>
                <w:tab w:val="clear" w:pos="1440"/>
                <w:tab w:val="num" w:pos="709"/>
              </w:tabs>
              <w:ind w:left="426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563B">
              <w:rPr>
                <w:rFonts w:ascii="Arial" w:hAnsi="Arial" w:cs="Arial"/>
                <w:sz w:val="20"/>
                <w:szCs w:val="20"/>
                <w:lang w:val="en-GB"/>
              </w:rPr>
              <w:t>Check - feedback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tabs>
                <w:tab w:val="clear" w:pos="1440"/>
                <w:tab w:val="num" w:pos="709"/>
              </w:tabs>
              <w:ind w:left="426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563B">
              <w:rPr>
                <w:rFonts w:ascii="Arial" w:hAnsi="Arial" w:cs="Arial"/>
                <w:sz w:val="20"/>
                <w:szCs w:val="20"/>
                <w:lang w:val="en-GB"/>
              </w:rPr>
              <w:t>Review</w:t>
            </w:r>
          </w:p>
          <w:p w:rsidR="008A563B" w:rsidRPr="008A563B" w:rsidRDefault="008A563B" w:rsidP="002810B9">
            <w:pPr>
              <w:numPr>
                <w:ilvl w:val="0"/>
                <w:numId w:val="2"/>
              </w:numPr>
              <w:tabs>
                <w:tab w:val="clear" w:pos="1440"/>
                <w:tab w:val="num" w:pos="709"/>
              </w:tabs>
              <w:ind w:left="426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563B">
              <w:rPr>
                <w:rFonts w:ascii="Arial" w:hAnsi="Arial" w:cs="Arial"/>
                <w:sz w:val="20"/>
                <w:szCs w:val="20"/>
                <w:lang w:val="en-GB"/>
              </w:rPr>
              <w:t>Summary</w:t>
            </w:r>
          </w:p>
          <w:p w:rsidR="008A563B" w:rsidRPr="008A563B" w:rsidRDefault="008A563B" w:rsidP="008A563B">
            <w:pPr>
              <w:shd w:val="clear" w:color="auto" w:fill="FFFFFF"/>
              <w:tabs>
                <w:tab w:val="num" w:pos="709"/>
              </w:tabs>
              <w:ind w:left="42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3B" w:rsidRPr="008A563B" w:rsidRDefault="008A563B" w:rsidP="008A563B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63B">
              <w:rPr>
                <w:rFonts w:ascii="Arial" w:eastAsia="Times New Roman" w:hAnsi="Arial" w:cs="Arial"/>
                <w:b/>
                <w:sz w:val="20"/>
                <w:szCs w:val="20"/>
              </w:rPr>
              <w:t>Action planning</w:t>
            </w:r>
          </w:p>
          <w:p w:rsidR="008A563B" w:rsidRPr="00604BEF" w:rsidRDefault="008A563B" w:rsidP="008A563B">
            <w:pPr>
              <w:ind w:left="426"/>
              <w:jc w:val="both"/>
              <w:rPr>
                <w:sz w:val="18"/>
                <w:szCs w:val="18"/>
                <w:lang w:val="en-GB"/>
              </w:rPr>
            </w:pPr>
          </w:p>
          <w:p w:rsidR="008A563B" w:rsidRPr="00604BEF" w:rsidRDefault="008A563B" w:rsidP="008A563B">
            <w:pPr>
              <w:shd w:val="clear" w:color="auto" w:fill="FFFFFF"/>
              <w:ind w:left="426"/>
              <w:jc w:val="both"/>
              <w:textAlignment w:val="top"/>
              <w:rPr>
                <w:rFonts w:eastAsia="Times New Roman"/>
                <w:color w:val="333333"/>
                <w:sz w:val="18"/>
                <w:szCs w:val="18"/>
              </w:rPr>
            </w:pPr>
          </w:p>
          <w:p w:rsidR="00E028E3" w:rsidRPr="00C2667E" w:rsidRDefault="00E028E3" w:rsidP="008A563B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3E9F" w:rsidRDefault="00583E9F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DA" w:rsidRDefault="007735DA" w:rsidP="008B5165">
      <w:pPr>
        <w:spacing w:after="0"/>
      </w:pPr>
      <w:r>
        <w:separator/>
      </w:r>
    </w:p>
  </w:endnote>
  <w:endnote w:type="continuationSeparator" w:id="0">
    <w:p w:rsidR="007735DA" w:rsidRDefault="007735DA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7735DA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DA" w:rsidRDefault="007735DA" w:rsidP="008B5165">
      <w:pPr>
        <w:spacing w:after="0"/>
      </w:pPr>
      <w:r>
        <w:separator/>
      </w:r>
    </w:p>
  </w:footnote>
  <w:footnote w:type="continuationSeparator" w:id="0">
    <w:p w:rsidR="007735DA" w:rsidRDefault="007735DA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EFE"/>
    <w:multiLevelType w:val="hybridMultilevel"/>
    <w:tmpl w:val="4BEA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50D6B"/>
    <w:multiLevelType w:val="multilevel"/>
    <w:tmpl w:val="F7F287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0A93"/>
    <w:rsid w:val="00084DF1"/>
    <w:rsid w:val="00095C25"/>
    <w:rsid w:val="00111893"/>
    <w:rsid w:val="00161990"/>
    <w:rsid w:val="001678B7"/>
    <w:rsid w:val="001C4C45"/>
    <w:rsid w:val="00205A37"/>
    <w:rsid w:val="00263ED0"/>
    <w:rsid w:val="002810B9"/>
    <w:rsid w:val="002A5E4F"/>
    <w:rsid w:val="002C1B69"/>
    <w:rsid w:val="003506D8"/>
    <w:rsid w:val="003746F0"/>
    <w:rsid w:val="00380552"/>
    <w:rsid w:val="003A1BBA"/>
    <w:rsid w:val="00413769"/>
    <w:rsid w:val="00442E01"/>
    <w:rsid w:val="00444552"/>
    <w:rsid w:val="00467AF1"/>
    <w:rsid w:val="00485BFF"/>
    <w:rsid w:val="00583E9F"/>
    <w:rsid w:val="005D67DA"/>
    <w:rsid w:val="005E4593"/>
    <w:rsid w:val="006127F5"/>
    <w:rsid w:val="00626317"/>
    <w:rsid w:val="006266D1"/>
    <w:rsid w:val="0064772A"/>
    <w:rsid w:val="0067035D"/>
    <w:rsid w:val="0071142C"/>
    <w:rsid w:val="007143D3"/>
    <w:rsid w:val="0072330A"/>
    <w:rsid w:val="00723A87"/>
    <w:rsid w:val="0074630E"/>
    <w:rsid w:val="007735DA"/>
    <w:rsid w:val="007E2BE0"/>
    <w:rsid w:val="008801F5"/>
    <w:rsid w:val="008842AB"/>
    <w:rsid w:val="008A563B"/>
    <w:rsid w:val="008B5165"/>
    <w:rsid w:val="00900EC2"/>
    <w:rsid w:val="00A8485D"/>
    <w:rsid w:val="00AB711C"/>
    <w:rsid w:val="00B71379"/>
    <w:rsid w:val="00BC1128"/>
    <w:rsid w:val="00BC5739"/>
    <w:rsid w:val="00BF66DE"/>
    <w:rsid w:val="00C02CE8"/>
    <w:rsid w:val="00C106B2"/>
    <w:rsid w:val="00C2667E"/>
    <w:rsid w:val="00C67995"/>
    <w:rsid w:val="00CD4D7A"/>
    <w:rsid w:val="00CF3BC0"/>
    <w:rsid w:val="00D13A43"/>
    <w:rsid w:val="00D56FC0"/>
    <w:rsid w:val="00D62C27"/>
    <w:rsid w:val="00E028E3"/>
    <w:rsid w:val="00E40B29"/>
    <w:rsid w:val="00E648D8"/>
    <w:rsid w:val="00E77C3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paragraph" w:styleId="Heading3">
    <w:name w:val="heading 3"/>
    <w:basedOn w:val="Normal"/>
    <w:link w:val="Heading3Char"/>
    <w:uiPriority w:val="9"/>
    <w:qFormat/>
    <w:rsid w:val="008A563B"/>
    <w:pPr>
      <w:spacing w:after="0"/>
      <w:outlineLvl w:val="2"/>
    </w:pPr>
    <w:rPr>
      <w:rFonts w:ascii="Times New Roman" w:eastAsia="Times New Roman" w:hAnsi="Times New Roman" w:cs="Times New Roman"/>
      <w:color w:val="97602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A563B"/>
    <w:rPr>
      <w:rFonts w:ascii="Times New Roman" w:eastAsia="Times New Roman" w:hAnsi="Times New Roman" w:cs="Times New Roman"/>
      <w:color w:val="97602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4025-2B09-4DA9-B5B3-084BE1C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2013-08-23T08:46:00Z</dcterms:created>
  <dcterms:modified xsi:type="dcterms:W3CDTF">2013-08-23T08:46:00Z</dcterms:modified>
</cp:coreProperties>
</file>