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D0" w:rsidRPr="00ED3D44" w:rsidRDefault="00380552" w:rsidP="003A1BBA">
      <w:pPr>
        <w:rPr>
          <w:rFonts w:ascii="Century Gothic" w:hAnsi="Century Gothic"/>
          <w:color w:val="298CAA"/>
          <w:sz w:val="64"/>
          <w:szCs w:val="64"/>
          <w:lang w:val="en-GB"/>
        </w:rPr>
      </w:pPr>
      <w:bookmarkStart w:id="0" w:name="_GoBack"/>
      <w:bookmarkEnd w:id="0"/>
      <w:r>
        <w:rPr>
          <w:rFonts w:ascii="Century Gothic" w:hAnsi="Century Gothic"/>
          <w:color w:val="298CAA"/>
          <w:sz w:val="64"/>
          <w:szCs w:val="64"/>
          <w:lang w:val="en-GB"/>
        </w:rPr>
        <w:t>Leading from the front</w:t>
      </w:r>
    </w:p>
    <w:p w:rsidR="00380552" w:rsidRPr="00380552" w:rsidRDefault="00380552" w:rsidP="00380552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  <w:lang w:val="en-GB"/>
        </w:rPr>
        <w:t>This is a practical 1-day</w:t>
      </w:r>
      <w:r w:rsidRPr="00380552">
        <w:rPr>
          <w:rFonts w:ascii="Arial" w:hAnsi="Arial" w:cs="Arial"/>
          <w:color w:val="808080" w:themeColor="background1" w:themeShade="80"/>
          <w:lang w:val="en-GB"/>
        </w:rPr>
        <w:t xml:space="preserve"> int</w:t>
      </w:r>
      <w:r>
        <w:rPr>
          <w:rFonts w:ascii="Arial" w:hAnsi="Arial" w:cs="Arial"/>
          <w:color w:val="808080" w:themeColor="background1" w:themeShade="80"/>
          <w:lang w:val="en-GB"/>
        </w:rPr>
        <w:t xml:space="preserve">roductory course to leadership, where we </w:t>
      </w:r>
      <w:r w:rsidRPr="00380552">
        <w:rPr>
          <w:rFonts w:ascii="Arial" w:hAnsi="Arial" w:cs="Arial"/>
          <w:color w:val="808080" w:themeColor="background1" w:themeShade="80"/>
          <w:lang w:val="en-GB"/>
        </w:rPr>
        <w:t>defin</w:t>
      </w:r>
      <w:r>
        <w:rPr>
          <w:rFonts w:ascii="Arial" w:hAnsi="Arial" w:cs="Arial"/>
          <w:color w:val="808080" w:themeColor="background1" w:themeShade="80"/>
          <w:lang w:val="en-GB"/>
        </w:rPr>
        <w:t>e</w:t>
      </w:r>
      <w:r w:rsidR="00583E9F">
        <w:rPr>
          <w:rFonts w:ascii="Arial" w:hAnsi="Arial" w:cs="Arial"/>
          <w:color w:val="808080" w:themeColor="background1" w:themeShade="80"/>
          <w:lang w:val="en-GB"/>
        </w:rPr>
        <w:t xml:space="preserve"> best practice; develop</w:t>
      </w:r>
      <w:r w:rsidRPr="00380552">
        <w:rPr>
          <w:rFonts w:ascii="Arial" w:hAnsi="Arial" w:cs="Arial"/>
          <w:color w:val="808080" w:themeColor="background1" w:themeShade="80"/>
          <w:lang w:val="en-GB"/>
        </w:rPr>
        <w:t xml:space="preserve"> self awareness</w:t>
      </w:r>
      <w:r w:rsidR="00583E9F">
        <w:rPr>
          <w:rFonts w:ascii="Arial" w:hAnsi="Arial" w:cs="Arial"/>
          <w:color w:val="808080" w:themeColor="background1" w:themeShade="80"/>
          <w:lang w:val="en-GB"/>
        </w:rPr>
        <w:t xml:space="preserve">, and </w:t>
      </w:r>
      <w:r w:rsidRPr="00380552">
        <w:rPr>
          <w:rFonts w:ascii="Arial" w:hAnsi="Arial" w:cs="Arial"/>
          <w:color w:val="808080" w:themeColor="background1" w:themeShade="80"/>
        </w:rPr>
        <w:t>adopt an inclusive approach to leadership, working with the</w:t>
      </w:r>
      <w:r w:rsidRPr="00380552">
        <w:rPr>
          <w:rFonts w:ascii="Arial" w:hAnsi="Arial" w:cs="Arial"/>
          <w:color w:val="808080" w:themeColor="background1" w:themeShade="80"/>
          <w:lang w:val="en-GB"/>
        </w:rPr>
        <w:t xml:space="preserve"> organisation</w:t>
      </w:r>
      <w:r w:rsidRPr="00380552">
        <w:rPr>
          <w:rFonts w:ascii="Arial" w:hAnsi="Arial" w:cs="Arial"/>
          <w:color w:val="808080" w:themeColor="background1" w:themeShade="80"/>
        </w:rPr>
        <w:t xml:space="preserve"> to achieve greatness. There are three elements of leadership that the training will focus on, these are: Personal Leadership, Team Leadership and Task Leadership.</w:t>
      </w:r>
    </w:p>
    <w:p w:rsidR="00E028E3" w:rsidRDefault="00E028E3" w:rsidP="003A1BBA">
      <w:pPr>
        <w:shd w:val="clear" w:color="auto" w:fill="FFFFFF"/>
        <w:spacing w:after="0"/>
        <w:jc w:val="both"/>
        <w:textAlignment w:val="top"/>
        <w:rPr>
          <w:rFonts w:ascii="Century Gothic" w:eastAsia="Times New Roman" w:hAnsi="Century Gothic"/>
          <w:color w:val="7F7F7F" w:themeColor="text1" w:themeTint="80"/>
        </w:rPr>
      </w:pPr>
    </w:p>
    <w:p w:rsidR="003506D8" w:rsidRDefault="003506D8" w:rsidP="003A1BBA">
      <w:pPr>
        <w:shd w:val="clear" w:color="auto" w:fill="FFFFFF"/>
        <w:spacing w:after="0"/>
        <w:jc w:val="both"/>
        <w:textAlignment w:val="top"/>
        <w:rPr>
          <w:rFonts w:ascii="Century Gothic" w:eastAsia="Times New Roman" w:hAnsi="Century Gothic"/>
          <w:color w:val="7F7F7F" w:themeColor="text1" w:themeTint="80"/>
        </w:rPr>
      </w:pPr>
    </w:p>
    <w:tbl>
      <w:tblPr>
        <w:tblStyle w:val="TableGrid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3402"/>
      </w:tblGrid>
      <w:tr w:rsidR="00E028E3">
        <w:tc>
          <w:tcPr>
            <w:tcW w:w="3794" w:type="dxa"/>
          </w:tcPr>
          <w:p w:rsidR="00E028E3" w:rsidRDefault="00E028E3" w:rsidP="00E028E3">
            <w:pPr>
              <w:shd w:val="clear" w:color="auto" w:fill="FFFFFF"/>
              <w:textAlignment w:val="top"/>
              <w:rPr>
                <w:rFonts w:ascii="Arial" w:eastAsia="Times New Roman" w:hAnsi="Arial" w:cs="Arial"/>
                <w:b/>
                <w:color w:val="298CAA"/>
              </w:rPr>
            </w:pPr>
          </w:p>
          <w:p w:rsidR="00E028E3" w:rsidRPr="00E028E3" w:rsidRDefault="00E028E3" w:rsidP="00E028E3">
            <w:pPr>
              <w:shd w:val="clear" w:color="auto" w:fill="FFFFFF"/>
              <w:textAlignment w:val="top"/>
              <w:rPr>
                <w:rFonts w:ascii="Arial" w:eastAsia="Times New Roman" w:hAnsi="Arial" w:cs="Arial"/>
                <w:b/>
                <w:color w:val="298CAA"/>
              </w:rPr>
            </w:pPr>
            <w:r w:rsidRPr="00E028E3">
              <w:rPr>
                <w:rFonts w:ascii="Arial" w:eastAsia="Times New Roman" w:hAnsi="Arial" w:cs="Arial"/>
                <w:b/>
                <w:color w:val="298CAA"/>
              </w:rPr>
              <w:t>Who should attend?</w:t>
            </w:r>
          </w:p>
          <w:p w:rsidR="00E028E3" w:rsidRPr="00583E9F" w:rsidRDefault="00E028E3" w:rsidP="00583E9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83E9F" w:rsidRPr="00583E9F" w:rsidRDefault="00583E9F" w:rsidP="00583E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583E9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relatively new to the role of</w:t>
            </w:r>
            <w:r w:rsidRPr="00583E9F">
              <w:rPr>
                <w:rFonts w:ascii="Arial" w:hAnsi="Arial" w:cs="Arial"/>
                <w:sz w:val="20"/>
                <w:szCs w:val="20"/>
              </w:rPr>
              <w:t xml:space="preserve"> leadership</w:t>
            </w:r>
            <w:r>
              <w:rPr>
                <w:rFonts w:ascii="Arial" w:hAnsi="Arial" w:cs="Arial"/>
                <w:sz w:val="20"/>
                <w:szCs w:val="20"/>
              </w:rPr>
              <w:t xml:space="preserve"> or are in need of</w:t>
            </w:r>
            <w:r w:rsidRPr="00583E9F">
              <w:rPr>
                <w:rFonts w:ascii="Arial" w:hAnsi="Arial" w:cs="Arial"/>
                <w:sz w:val="20"/>
                <w:szCs w:val="20"/>
              </w:rPr>
              <w:t xml:space="preserve"> a fresh perspective to their leadership role. Anyone in a position of l</w:t>
            </w:r>
            <w:r>
              <w:rPr>
                <w:rFonts w:ascii="Arial" w:hAnsi="Arial" w:cs="Arial"/>
                <w:sz w:val="20"/>
                <w:szCs w:val="20"/>
              </w:rPr>
              <w:t xml:space="preserve">eadership would benefit from this </w:t>
            </w: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programme</w:t>
            </w:r>
            <w:r w:rsidRPr="00583E9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667E" w:rsidRDefault="00C2667E" w:rsidP="00C2667E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  <w:p w:rsidR="00E028E3" w:rsidRPr="00E028E3" w:rsidRDefault="00E028E3" w:rsidP="00E028E3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E028E3" w:rsidRDefault="00E028E3" w:rsidP="00E028E3">
            <w:pPr>
              <w:shd w:val="clear" w:color="auto" w:fill="FFFFFF"/>
              <w:textAlignment w:val="top"/>
              <w:rPr>
                <w:rFonts w:ascii="Arial" w:eastAsia="Times New Roman" w:hAnsi="Arial" w:cs="Arial"/>
                <w:b/>
                <w:color w:val="298CAA"/>
              </w:rPr>
            </w:pPr>
            <w:r>
              <w:rPr>
                <w:rFonts w:ascii="Arial" w:eastAsia="Times New Roman" w:hAnsi="Arial" w:cs="Arial"/>
                <w:b/>
                <w:color w:val="298CAA"/>
              </w:rPr>
              <w:t>Course Benefits</w:t>
            </w:r>
          </w:p>
          <w:p w:rsidR="00C2667E" w:rsidRDefault="00C67995" w:rsidP="00C6799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583E9F" w:rsidRPr="00583E9F" w:rsidRDefault="00583E9F" w:rsidP="00583E9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By the end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of this Leading from the Front course your will be able to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learly define the core requirements of Personal, Team and Task Leadership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;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increase  your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self-awareness and develop a positive approach to leadership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GB"/>
              </w:rPr>
              <w:t>u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  <w:lang w:val="en-GB"/>
              </w:rPr>
              <w:t>tilise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clear methods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 getting the best out of your team and those around you;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and i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mplement working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practices that will assist you</w:t>
            </w:r>
            <w:r w:rsidRPr="00583E9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 becoming a great leader</w:t>
            </w:r>
          </w:p>
          <w:p w:rsidR="00CF3BC0" w:rsidRDefault="00CF3BC0" w:rsidP="00CF3BC0">
            <w:pPr>
              <w:jc w:val="both"/>
              <w:rPr>
                <w:sz w:val="20"/>
                <w:szCs w:val="20"/>
                <w:lang w:val="en-GB"/>
              </w:rPr>
            </w:pPr>
          </w:p>
          <w:p w:rsidR="00205A37" w:rsidRPr="00CF3BC0" w:rsidRDefault="00205A37" w:rsidP="00CF3BC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106B2" w:rsidRPr="002A5E4F" w:rsidRDefault="00C106B2" w:rsidP="00583E9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F3BC0" w:rsidRDefault="00CF3BC0" w:rsidP="00CF3BC0">
            <w:pPr>
              <w:jc w:val="both"/>
              <w:rPr>
                <w:b/>
                <w:sz w:val="18"/>
                <w:szCs w:val="18"/>
                <w:lang w:val="en-GB"/>
              </w:rPr>
            </w:pPr>
          </w:p>
          <w:p w:rsidR="00583E9F" w:rsidRPr="00D56FC0" w:rsidRDefault="00583E9F" w:rsidP="00583E9F">
            <w:pPr>
              <w:rPr>
                <w:rFonts w:ascii="Arial" w:hAnsi="Arial" w:cs="Arial"/>
                <w:b/>
                <w:color w:val="298CAA"/>
                <w:lang w:val="en-GB"/>
              </w:rPr>
            </w:pPr>
            <w:r>
              <w:rPr>
                <w:rFonts w:ascii="Arial" w:hAnsi="Arial" w:cs="Arial"/>
                <w:b/>
                <w:color w:val="298CAA"/>
                <w:lang w:val="en-GB"/>
              </w:rPr>
              <w:t>Programme Content</w:t>
            </w:r>
          </w:p>
          <w:p w:rsidR="00583E9F" w:rsidRDefault="00583E9F" w:rsidP="00583E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83E9F" w:rsidRPr="00583E9F" w:rsidRDefault="00583E9F" w:rsidP="00583E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b/>
                <w:sz w:val="20"/>
                <w:szCs w:val="20"/>
                <w:lang w:val="en-GB"/>
              </w:rPr>
              <w:t>Personal Leadership</w:t>
            </w:r>
          </w:p>
          <w:p w:rsidR="00583E9F" w:rsidRPr="00583E9F" w:rsidRDefault="00583E9F" w:rsidP="000B0817">
            <w:pPr>
              <w:numPr>
                <w:ilvl w:val="0"/>
                <w:numId w:val="1"/>
              </w:numPr>
              <w:ind w:left="1134" w:hanging="8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Be true to your strengths</w:t>
            </w:r>
          </w:p>
          <w:p w:rsidR="00583E9F" w:rsidRPr="00583E9F" w:rsidRDefault="00583E9F" w:rsidP="000B0817">
            <w:pPr>
              <w:numPr>
                <w:ilvl w:val="0"/>
                <w:numId w:val="1"/>
              </w:numPr>
              <w:ind w:left="1134" w:hanging="8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Solicit feedback</w:t>
            </w:r>
          </w:p>
          <w:p w:rsidR="00583E9F" w:rsidRPr="00583E9F" w:rsidRDefault="00583E9F" w:rsidP="000B0817">
            <w:pPr>
              <w:numPr>
                <w:ilvl w:val="0"/>
                <w:numId w:val="1"/>
              </w:numPr>
              <w:ind w:left="1134" w:hanging="8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Ask good questions &amp; listen</w:t>
            </w:r>
          </w:p>
          <w:p w:rsidR="00583E9F" w:rsidRPr="00583E9F" w:rsidRDefault="00583E9F" w:rsidP="000B0817">
            <w:pPr>
              <w:numPr>
                <w:ilvl w:val="0"/>
                <w:numId w:val="1"/>
              </w:numPr>
              <w:ind w:left="1134" w:hanging="8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Commit to Lifelong Learning</w:t>
            </w:r>
          </w:p>
          <w:p w:rsidR="00583E9F" w:rsidRPr="00583E9F" w:rsidRDefault="00583E9F" w:rsidP="0058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3E9F" w:rsidRPr="00583E9F" w:rsidRDefault="00583E9F" w:rsidP="00583E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b/>
                <w:sz w:val="20"/>
                <w:szCs w:val="20"/>
                <w:lang w:val="en-GB"/>
              </w:rPr>
              <w:t>Team Leadership</w:t>
            </w:r>
          </w:p>
          <w:p w:rsidR="00583E9F" w:rsidRPr="00583E9F" w:rsidRDefault="00583E9F" w:rsidP="000B081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Be positive</w:t>
            </w:r>
          </w:p>
          <w:p w:rsidR="00583E9F" w:rsidRPr="00583E9F" w:rsidRDefault="00583E9F" w:rsidP="000B081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Develop a vision</w:t>
            </w:r>
          </w:p>
          <w:p w:rsidR="00583E9F" w:rsidRPr="00583E9F" w:rsidRDefault="00583E9F" w:rsidP="000B081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Lead by example</w:t>
            </w:r>
          </w:p>
          <w:p w:rsidR="00583E9F" w:rsidRPr="00583E9F" w:rsidRDefault="00583E9F" w:rsidP="000B081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Be inclusive</w:t>
            </w:r>
          </w:p>
          <w:p w:rsidR="00583E9F" w:rsidRPr="00583E9F" w:rsidRDefault="00583E9F" w:rsidP="000B081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Manage negativity</w:t>
            </w:r>
          </w:p>
          <w:p w:rsidR="00583E9F" w:rsidRPr="00583E9F" w:rsidRDefault="00583E9F" w:rsidP="00583E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3E9F" w:rsidRPr="00583E9F" w:rsidRDefault="00583E9F" w:rsidP="00583E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b/>
                <w:sz w:val="20"/>
                <w:szCs w:val="20"/>
                <w:lang w:val="en-GB"/>
              </w:rPr>
              <w:t>Task Leadership</w:t>
            </w:r>
          </w:p>
          <w:p w:rsidR="00583E9F" w:rsidRPr="00583E9F" w:rsidRDefault="00583E9F" w:rsidP="000B081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Delegation</w:t>
            </w:r>
          </w:p>
          <w:p w:rsidR="00583E9F" w:rsidRPr="00583E9F" w:rsidRDefault="00583E9F" w:rsidP="000B081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Continuous Improvement</w:t>
            </w:r>
          </w:p>
          <w:p w:rsidR="00583E9F" w:rsidRPr="00583E9F" w:rsidRDefault="00583E9F" w:rsidP="000B081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sz w:val="20"/>
                <w:szCs w:val="20"/>
                <w:lang w:val="en-GB"/>
              </w:rPr>
              <w:t>Problem Solving</w:t>
            </w:r>
          </w:p>
          <w:p w:rsidR="00583E9F" w:rsidRPr="00583E9F" w:rsidRDefault="00583E9F" w:rsidP="00583E9F">
            <w:pPr>
              <w:outlineLvl w:val="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583E9F" w:rsidRPr="00583E9F" w:rsidRDefault="00583E9F" w:rsidP="00583E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3E9F"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 Review &amp; Close</w:t>
            </w:r>
          </w:p>
          <w:p w:rsidR="00E028E3" w:rsidRPr="00C2667E" w:rsidRDefault="00E028E3" w:rsidP="00583E9F">
            <w:pPr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02" w:type="dxa"/>
          </w:tcPr>
          <w:p w:rsidR="00583E9F" w:rsidRDefault="00583E9F" w:rsidP="003A1BBA">
            <w:pPr>
              <w:jc w:val="both"/>
              <w:textAlignment w:val="top"/>
              <w:rPr>
                <w:rFonts w:ascii="Century Gothic" w:eastAsia="Times New Roman" w:hAnsi="Century Gothic"/>
                <w:color w:val="7F7F7F" w:themeColor="text1" w:themeTint="80"/>
              </w:rPr>
            </w:pPr>
          </w:p>
          <w:p w:rsidR="00E028E3" w:rsidRPr="00E028E3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</w:rPr>
            </w:pPr>
            <w:r w:rsidRPr="00E028E3">
              <w:rPr>
                <w:rFonts w:ascii="Arial" w:eastAsia="Times New Roman" w:hAnsi="Arial" w:cs="Arial"/>
                <w:b/>
                <w:color w:val="298CAA"/>
              </w:rPr>
              <w:t>Contact information</w:t>
            </w:r>
          </w:p>
          <w:p w:rsidR="00E028E3" w:rsidRDefault="00E028E3" w:rsidP="003A1BBA">
            <w:pPr>
              <w:jc w:val="both"/>
              <w:textAlignment w:val="top"/>
              <w:rPr>
                <w:rFonts w:ascii="Century Gothic" w:eastAsia="Times New Roman" w:hAnsi="Century Gothic"/>
                <w:color w:val="298CAA"/>
              </w:rPr>
            </w:pPr>
          </w:p>
          <w:p w:rsidR="00E028E3" w:rsidRPr="00900EC2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Jeanette Lonsdale</w:t>
            </w:r>
          </w:p>
          <w:p w:rsidR="00E028E3" w:rsidRPr="00900EC2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HR Consultant</w:t>
            </w:r>
          </w:p>
          <w:p w:rsidR="00E028E3" w:rsidRPr="00900EC2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First Call HR</w:t>
            </w:r>
          </w:p>
          <w:p w:rsidR="00E028E3" w:rsidRPr="00900EC2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</w:p>
          <w:p w:rsidR="00E028E3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Tel: +44 (0)7917 333999</w:t>
            </w:r>
          </w:p>
          <w:p w:rsidR="00900EC2" w:rsidRPr="00900EC2" w:rsidRDefault="00900EC2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</w:p>
          <w:p w:rsidR="00E028E3" w:rsidRDefault="00E028E3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Tel: +44 (0)1295 720988</w:t>
            </w:r>
          </w:p>
          <w:p w:rsidR="00900EC2" w:rsidRPr="00900EC2" w:rsidRDefault="00900EC2" w:rsidP="003A1BBA">
            <w:pPr>
              <w:jc w:val="both"/>
              <w:textAlignment w:val="top"/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</w:pPr>
          </w:p>
          <w:p w:rsidR="00E028E3" w:rsidRPr="00E028E3" w:rsidRDefault="00E028E3" w:rsidP="00D13A43">
            <w:pPr>
              <w:ind w:right="-306"/>
              <w:jc w:val="both"/>
              <w:textAlignment w:val="top"/>
              <w:rPr>
                <w:rFonts w:ascii="Century Gothic" w:eastAsia="Times New Roman" w:hAnsi="Century Gothic"/>
                <w:color w:val="298CAA"/>
              </w:rPr>
            </w:pP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Email:</w:t>
            </w:r>
            <w:r w:rsidR="00D13A43"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 xml:space="preserve"> j</w:t>
            </w:r>
            <w:r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eanette@</w:t>
            </w:r>
            <w:r w:rsidR="00D13A43" w:rsidRPr="00900EC2">
              <w:rPr>
                <w:rFonts w:ascii="Arial" w:eastAsia="Times New Roman" w:hAnsi="Arial" w:cs="Arial"/>
                <w:b/>
                <w:color w:val="298CAA"/>
                <w:sz w:val="20"/>
                <w:szCs w:val="20"/>
              </w:rPr>
              <w:t>firstcallhr.com</w:t>
            </w:r>
          </w:p>
        </w:tc>
      </w:tr>
    </w:tbl>
    <w:p w:rsidR="00E028E3" w:rsidRPr="003A1BBA" w:rsidRDefault="00E028E3" w:rsidP="00CD4D7A">
      <w:pPr>
        <w:shd w:val="clear" w:color="auto" w:fill="FFFFFF"/>
        <w:tabs>
          <w:tab w:val="left" w:pos="4395"/>
        </w:tabs>
        <w:spacing w:after="0"/>
        <w:jc w:val="both"/>
        <w:textAlignment w:val="top"/>
        <w:rPr>
          <w:rFonts w:ascii="Century Gothic" w:eastAsia="Times New Roman" w:hAnsi="Century Gothic"/>
          <w:color w:val="7F7F7F" w:themeColor="text1" w:themeTint="80"/>
        </w:rPr>
      </w:pPr>
    </w:p>
    <w:p w:rsidR="003A1BBA" w:rsidRDefault="003A1BBA" w:rsidP="003A1BBA">
      <w:pPr>
        <w:shd w:val="clear" w:color="auto" w:fill="FFFFFF"/>
        <w:spacing w:after="0"/>
        <w:ind w:left="-993"/>
        <w:jc w:val="both"/>
        <w:textAlignment w:val="top"/>
        <w:rPr>
          <w:rFonts w:ascii="Century Gothic" w:eastAsia="Times New Roman" w:hAnsi="Century Gothic"/>
          <w:color w:val="7F7F7F" w:themeColor="text1" w:themeTint="80"/>
          <w:sz w:val="18"/>
          <w:szCs w:val="18"/>
        </w:rPr>
      </w:pPr>
    </w:p>
    <w:p w:rsidR="003A1BBA" w:rsidRPr="003A1BBA" w:rsidRDefault="003A1BBA" w:rsidP="003A1BBA">
      <w:pPr>
        <w:shd w:val="clear" w:color="auto" w:fill="FFFFFF"/>
        <w:spacing w:after="0"/>
        <w:ind w:left="-567"/>
        <w:jc w:val="both"/>
        <w:textAlignment w:val="top"/>
        <w:rPr>
          <w:rFonts w:ascii="Century Gothic" w:eastAsia="Times New Roman" w:hAnsi="Century Gothic"/>
          <w:color w:val="7F7F7F" w:themeColor="text1" w:themeTint="80"/>
          <w:sz w:val="18"/>
          <w:szCs w:val="18"/>
        </w:rPr>
        <w:sectPr w:rsidR="003A1BBA" w:rsidRPr="003A1BBA">
          <w:headerReference w:type="default" r:id="rId9"/>
          <w:footerReference w:type="default" r:id="rId10"/>
          <w:type w:val="continuous"/>
          <w:pgSz w:w="11907" w:h="16839" w:code="9"/>
          <w:pgMar w:top="720" w:right="567" w:bottom="720" w:left="567" w:header="709" w:footer="709" w:gutter="0"/>
          <w:paperSrc w:first="7"/>
          <w:cols w:space="708"/>
          <w:docGrid w:linePitch="326"/>
        </w:sectPr>
      </w:pPr>
    </w:p>
    <w:p w:rsidR="00485BFF" w:rsidRPr="00900EC2" w:rsidRDefault="00485BFF" w:rsidP="007E2BE0">
      <w:pPr>
        <w:tabs>
          <w:tab w:val="left" w:pos="1085"/>
        </w:tabs>
        <w:rPr>
          <w:rFonts w:ascii="Century Gothic" w:hAnsi="Century Gothic"/>
          <w:sz w:val="18"/>
          <w:szCs w:val="18"/>
          <w:lang w:val="en-GB"/>
        </w:rPr>
      </w:pPr>
    </w:p>
    <w:sectPr w:rsidR="00485BFF" w:rsidRPr="00900EC2" w:rsidSect="005E4593">
      <w:type w:val="continuous"/>
      <w:pgSz w:w="11907" w:h="16839" w:code="9"/>
      <w:pgMar w:top="1440" w:right="1275" w:bottom="1440" w:left="1797" w:header="709" w:footer="709" w:gutter="0"/>
      <w:paperSrc w:first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2A" w:rsidRDefault="00024D2A" w:rsidP="008B5165">
      <w:pPr>
        <w:spacing w:after="0"/>
      </w:pPr>
      <w:r>
        <w:separator/>
      </w:r>
    </w:p>
  </w:endnote>
  <w:endnote w:type="continuationSeparator" w:id="0">
    <w:p w:rsidR="00024D2A" w:rsidRDefault="00024D2A" w:rsidP="008B51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D3" w:rsidRDefault="00024D2A" w:rsidP="007143D3">
    <w:pPr>
      <w:tabs>
        <w:tab w:val="left" w:pos="1085"/>
        <w:tab w:val="left" w:pos="7945"/>
      </w:tabs>
      <w:spacing w:before="240"/>
      <w:rPr>
        <w:rFonts w:ascii="Century Gothic" w:hAnsi="Century Gothic"/>
        <w:noProof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5pt;margin-top:5.2pt;width:225.95pt;height:28pt;z-index:251659264" filled="f" stroked="f">
          <v:fill o:detectmouseclick="t"/>
          <v:textbox style="mso-next-textbox:#_x0000_s2049" inset=",7.2pt,,7.2pt">
            <w:txbxContent>
              <w:p w:rsidR="00061B13" w:rsidRPr="00ED3D44" w:rsidRDefault="00061B13" w:rsidP="00061B13">
                <w:pPr>
                  <w:tabs>
                    <w:tab w:val="left" w:pos="1085"/>
                  </w:tabs>
                  <w:jc w:val="right"/>
                  <w:rPr>
                    <w:rFonts w:ascii="Century Gothic" w:hAnsi="Century Gothic"/>
                    <w:sz w:val="18"/>
                    <w:szCs w:val="18"/>
                    <w:lang w:val="en-GB"/>
                  </w:rPr>
                </w:pPr>
                <w:r>
                  <w:rPr>
                    <w:rFonts w:ascii="Century Gothic" w:hAnsi="Century Gothic"/>
                    <w:sz w:val="18"/>
                    <w:szCs w:val="18"/>
                    <w:lang w:val="en-GB"/>
                  </w:rPr>
                  <w:t>Copyright – First Call HR 2012. All rights reserved</w:t>
                </w:r>
              </w:p>
              <w:p w:rsidR="00061B13" w:rsidRDefault="00061B13"/>
            </w:txbxContent>
          </v:textbox>
        </v:shape>
      </w:pict>
    </w:r>
    <w:r w:rsidR="00D62C27">
      <w:rPr>
        <w:noProof/>
        <w:lang w:val="en-GB" w:eastAsia="en-GB"/>
      </w:rPr>
      <w:drawing>
        <wp:inline distT="0" distB="0" distL="0" distR="0">
          <wp:extent cx="1033145" cy="154305"/>
          <wp:effectExtent l="19050" t="0" r="0" b="0"/>
          <wp:docPr id="7" name="Picture 2" descr="C:\Documents and Settings\RG\Desktop\First Call HR\2.0 First Call HR\2.6 Marketing\Logo Designs\hr_sim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RG\Desktop\First Call HR\2.0 First Call HR\2.6 Marketing\Logo Designs\hr_simp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54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0EC2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-103489</wp:posOffset>
          </wp:positionH>
          <wp:positionV relativeFrom="paragraph">
            <wp:posOffset>4899</wp:posOffset>
          </wp:positionV>
          <wp:extent cx="7102335" cy="403761"/>
          <wp:effectExtent l="19050" t="0" r="3315" b="0"/>
          <wp:wrapNone/>
          <wp:docPr id="1" name="Object 1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9144000" cy="838200"/>
                    <a:chOff x="0" y="6019800"/>
                    <a:chExt cx="9144000" cy="838200"/>
                  </a:xfrm>
                </a:grpSpPr>
                <a:sp>
                  <a:nvSpPr>
                    <a:cNvPr id="4" name="Rectangle 3"/>
                    <a:cNvSpPr/>
                  </a:nvSpPr>
                  <a:spPr>
                    <a:xfrm>
                      <a:off x="0" y="6019800"/>
                      <a:ext cx="9144000" cy="838200"/>
                    </a:xfrm>
                    <a:prstGeom prst="rect">
                      <a:avLst/>
                    </a:prstGeom>
                    <a:solidFill>
                      <a:srgbClr val="298CAA"/>
                    </a:solidFill>
                  </a:spPr>
                  <a:txSp>
                    <a:txBody>
                      <a:bodyPr rtlCol="0" anchor="ctr"/>
                      <a:lstStyle>
                        <a:defPPr>
                          <a:defRPr lang="en-US"/>
                        </a:defPPr>
                        <a:lvl1pPr marL="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algn="l" defTabSz="457200" rtl="0" eaLnBrk="1" latinLnBrk="0" hangingPunct="1">
                          <a:defRPr sz="1800" kern="1200">
                            <a:solidFill>
                              <a:schemeClr val="l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algn="ctr"/>
                        <a:endParaRPr lang="en-US" dirty="0"/>
                      </a:p>
                    </a:txBody>
                    <a:useSpRect/>
                  </a:txSp>
                  <a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a:style>
                </a:sp>
              </lc:lockedCanvas>
            </a:graphicData>
          </a:graphic>
        </wp:anchor>
      </w:drawing>
    </w:r>
  </w:p>
  <w:p w:rsidR="00485BFF" w:rsidRPr="00FE2E86" w:rsidRDefault="00061B13" w:rsidP="00061B13">
    <w:pPr>
      <w:tabs>
        <w:tab w:val="left" w:pos="1085"/>
        <w:tab w:val="left" w:pos="7945"/>
      </w:tabs>
      <w:rPr>
        <w:rFonts w:ascii="Century Gothic" w:hAnsi="Century Gothic"/>
        <w:noProof/>
        <w:sz w:val="18"/>
        <w:szCs w:val="18"/>
      </w:rPr>
    </w:pPr>
    <w:r w:rsidRPr="00FE2E86">
      <w:rPr>
        <w:rFonts w:ascii="Century Gothic" w:hAnsi="Century Gothic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2A" w:rsidRDefault="00024D2A" w:rsidP="008B5165">
      <w:pPr>
        <w:spacing w:after="0"/>
      </w:pPr>
      <w:r>
        <w:separator/>
      </w:r>
    </w:p>
  </w:footnote>
  <w:footnote w:type="continuationSeparator" w:id="0">
    <w:p w:rsidR="00024D2A" w:rsidRDefault="00024D2A" w:rsidP="008B51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F5" w:rsidRDefault="00064BF1" w:rsidP="00442E01">
    <w:pPr>
      <w:pStyle w:val="Header"/>
      <w:ind w:right="-7"/>
      <w:jc w:val="right"/>
      <w:rPr>
        <w:rFonts w:ascii="Verdana" w:hAnsi="Verdana"/>
        <w:sz w:val="20"/>
      </w:rPr>
    </w:pPr>
    <w:r>
      <w:rPr>
        <w:rFonts w:ascii="Verdana" w:hAnsi="Verdana"/>
        <w:noProof/>
        <w:sz w:val="20"/>
        <w:lang w:val="en-GB" w:eastAsia="en-GB"/>
      </w:rPr>
      <w:drawing>
        <wp:inline distT="0" distB="0" distL="0" distR="0">
          <wp:extent cx="1685925" cy="1038225"/>
          <wp:effectExtent l="19050" t="0" r="9525" b="0"/>
          <wp:docPr id="9" name="Picture 3" descr="C:\Documents and Settings\RG\Desktop\First Call HR\2.0 First Call HR\2.6 Marketing\Logo Designs\fc-hr_600x600_300dpi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RG\Desktop\First Call HR\2.0 First Call HR\2.6 Marketing\Logo Designs\fc-hr_600x600_300dpi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7AF1" w:rsidRPr="008801F5" w:rsidRDefault="00467AF1" w:rsidP="008801F5">
    <w:pPr>
      <w:pStyle w:val="Header"/>
      <w:ind w:right="-851"/>
      <w:jc w:val="right"/>
      <w:rPr>
        <w:rFonts w:ascii="Verdana" w:hAnsi="Verdana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683D"/>
    <w:multiLevelType w:val="hybridMultilevel"/>
    <w:tmpl w:val="340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A77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F05DD"/>
    <w:multiLevelType w:val="hybridMultilevel"/>
    <w:tmpl w:val="6FAC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867CD"/>
    <w:multiLevelType w:val="hybridMultilevel"/>
    <w:tmpl w:val="D684395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67AF1"/>
    <w:rsid w:val="00015622"/>
    <w:rsid w:val="00024D2A"/>
    <w:rsid w:val="00061B13"/>
    <w:rsid w:val="00064BF1"/>
    <w:rsid w:val="00080A93"/>
    <w:rsid w:val="00084DF1"/>
    <w:rsid w:val="00095C25"/>
    <w:rsid w:val="000B0817"/>
    <w:rsid w:val="00111893"/>
    <w:rsid w:val="001678B7"/>
    <w:rsid w:val="001C4C45"/>
    <w:rsid w:val="00205A37"/>
    <w:rsid w:val="00263ED0"/>
    <w:rsid w:val="002A5E4F"/>
    <w:rsid w:val="002C1B69"/>
    <w:rsid w:val="003506D8"/>
    <w:rsid w:val="003746F0"/>
    <w:rsid w:val="00380552"/>
    <w:rsid w:val="003A1BBA"/>
    <w:rsid w:val="00413769"/>
    <w:rsid w:val="00442E01"/>
    <w:rsid w:val="00444552"/>
    <w:rsid w:val="00467AF1"/>
    <w:rsid w:val="00485BFF"/>
    <w:rsid w:val="00583E9F"/>
    <w:rsid w:val="005D67DA"/>
    <w:rsid w:val="005E4593"/>
    <w:rsid w:val="006127F5"/>
    <w:rsid w:val="00626317"/>
    <w:rsid w:val="006266D1"/>
    <w:rsid w:val="0064772A"/>
    <w:rsid w:val="0067035D"/>
    <w:rsid w:val="0071142C"/>
    <w:rsid w:val="007143D3"/>
    <w:rsid w:val="0072330A"/>
    <w:rsid w:val="00723A87"/>
    <w:rsid w:val="0074630E"/>
    <w:rsid w:val="007E2BE0"/>
    <w:rsid w:val="008801F5"/>
    <w:rsid w:val="008842AB"/>
    <w:rsid w:val="008B5165"/>
    <w:rsid w:val="00900EC2"/>
    <w:rsid w:val="00A07D61"/>
    <w:rsid w:val="00A8485D"/>
    <w:rsid w:val="00AB711C"/>
    <w:rsid w:val="00B71379"/>
    <w:rsid w:val="00BC1128"/>
    <w:rsid w:val="00BC5739"/>
    <w:rsid w:val="00C106B2"/>
    <w:rsid w:val="00C2667E"/>
    <w:rsid w:val="00C67995"/>
    <w:rsid w:val="00CD4D7A"/>
    <w:rsid w:val="00CF3BC0"/>
    <w:rsid w:val="00D13A43"/>
    <w:rsid w:val="00D56FC0"/>
    <w:rsid w:val="00D62C27"/>
    <w:rsid w:val="00E028E3"/>
    <w:rsid w:val="00E40B29"/>
    <w:rsid w:val="00E648D8"/>
    <w:rsid w:val="00E77C38"/>
    <w:rsid w:val="00EA633D"/>
    <w:rsid w:val="00ED3D44"/>
    <w:rsid w:val="00F34C09"/>
    <w:rsid w:val="00FE2E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061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AF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7AF1"/>
  </w:style>
  <w:style w:type="paragraph" w:styleId="Footer">
    <w:name w:val="footer"/>
    <w:basedOn w:val="Normal"/>
    <w:link w:val="FooterChar"/>
    <w:uiPriority w:val="99"/>
    <w:unhideWhenUsed/>
    <w:rsid w:val="00467AF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7AF1"/>
  </w:style>
  <w:style w:type="paragraph" w:styleId="BalloonText">
    <w:name w:val="Balloon Text"/>
    <w:basedOn w:val="Normal"/>
    <w:link w:val="BalloonTextChar"/>
    <w:uiPriority w:val="99"/>
    <w:semiHidden/>
    <w:unhideWhenUsed/>
    <w:rsid w:val="006127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B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E01"/>
    <w:pPr>
      <w:spacing w:line="27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E028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A5E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061B3-4DBE-4270-B4AF-0D2D18E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Chris Deeley</cp:lastModifiedBy>
  <cp:revision>2</cp:revision>
  <cp:lastPrinted>2012-08-08T17:58:00Z</cp:lastPrinted>
  <dcterms:created xsi:type="dcterms:W3CDTF">2013-08-23T08:48:00Z</dcterms:created>
  <dcterms:modified xsi:type="dcterms:W3CDTF">2013-08-23T08:48:00Z</dcterms:modified>
</cp:coreProperties>
</file>